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1D104">
      <w:pPr>
        <w:spacing w:line="530" w:lineRule="exact"/>
        <w:ind w:right="-58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1</w:t>
      </w:r>
    </w:p>
    <w:p w14:paraId="15FEB574">
      <w:pPr>
        <w:spacing w:line="530" w:lineRule="exact"/>
        <w:ind w:right="-58"/>
        <w:rPr>
          <w:rFonts w:eastAsia="黑体"/>
          <w:szCs w:val="32"/>
        </w:rPr>
      </w:pPr>
    </w:p>
    <w:p w14:paraId="521B3552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第三届全国大学生职业规划大赛</w:t>
      </w:r>
    </w:p>
    <w:p w14:paraId="17FB92ED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校赛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成长赛道方案</w:t>
      </w:r>
    </w:p>
    <w:p w14:paraId="370864EB">
      <w:pPr>
        <w:numPr>
          <w:ilvl w:val="255"/>
          <w:numId w:val="0"/>
        </w:numPr>
        <w:spacing w:line="530" w:lineRule="exact"/>
        <w:jc w:val="center"/>
        <w:rPr>
          <w:rFonts w:eastAsia="黑体" w:cs="仿宋_GB2312"/>
          <w:bCs/>
          <w:color w:val="000000"/>
          <w:szCs w:val="32"/>
        </w:rPr>
      </w:pPr>
    </w:p>
    <w:p w14:paraId="3B6B13D2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一、比赛内容</w:t>
      </w:r>
    </w:p>
    <w:p w14:paraId="1614D0C1">
      <w:pPr>
        <w:numPr>
          <w:ilvl w:val="255"/>
          <w:numId w:val="0"/>
        </w:numPr>
        <w:spacing w:line="530" w:lineRule="exact"/>
        <w:ind w:firstLine="640" w:firstLineChars="20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  <w:bCs/>
          <w:color w:val="000000"/>
          <w:szCs w:val="32"/>
        </w:rPr>
        <w:t>考察学生</w:t>
      </w:r>
      <w:r>
        <w:rPr>
          <w:rFonts w:hint="eastAsia" w:cs="仿宋_GB2312"/>
        </w:rPr>
        <w:t>树立生涯发展理念并合理设定职业目标</w:t>
      </w:r>
      <w:r>
        <w:rPr>
          <w:rFonts w:hint="eastAsia" w:cs="仿宋_GB2312"/>
          <w:color w:val="000000"/>
          <w:szCs w:val="32"/>
        </w:rPr>
        <w:t>、围绕实现目标持续行动并不断调整的成长过程</w:t>
      </w:r>
      <w:r>
        <w:rPr>
          <w:rFonts w:hint="eastAsia" w:cs="仿宋_GB2312"/>
        </w:rPr>
        <w:t>，通过学习实践提升综合素质和专业能力，体现正确的择业就业观念。参赛学生可获得实习机会。</w:t>
      </w:r>
    </w:p>
    <w:p w14:paraId="002E8C38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二、参赛组别和对象</w:t>
      </w:r>
    </w:p>
    <w:p w14:paraId="1942527D">
      <w:pPr>
        <w:spacing w:line="530" w:lineRule="exact"/>
        <w:ind w:firstLine="640" w:firstLineChars="200"/>
        <w:rPr>
          <w:rFonts w:cs="仿宋_GB2312"/>
          <w:bCs/>
          <w:color w:val="000000"/>
          <w:szCs w:val="32"/>
        </w:rPr>
      </w:pPr>
      <w:r>
        <w:rPr>
          <w:rFonts w:hint="eastAsia" w:ascii="仿宋_GB2312" w:hAnsi="仿宋_GB2312" w:cs="仿宋_GB2312"/>
        </w:rPr>
        <w:t>参赛对象为普通</w:t>
      </w:r>
      <w:r>
        <w:rPr>
          <w:rFonts w:hint="eastAsia" w:ascii="仿宋_GB2312" w:hAnsi="仿宋_GB2312" w:cs="仿宋_GB2312"/>
          <w:bCs/>
          <w:color w:val="000000"/>
          <w:szCs w:val="32"/>
        </w:rPr>
        <w:t>高等学校全日制</w:t>
      </w:r>
      <w:r>
        <w:rPr>
          <w:rFonts w:hint="eastAsia" w:ascii="仿宋_GB2312" w:hAnsi="仿宋_GB2312" w:cs="仿宋_GB2312"/>
          <w:color w:val="000000"/>
          <w:szCs w:val="32"/>
        </w:rPr>
        <w:t>本科非毕业年级学生</w:t>
      </w:r>
      <w:r>
        <w:rPr>
          <w:rFonts w:hint="eastAsia" w:cs="仿宋_GB2312"/>
          <w:bCs/>
          <w:color w:val="000000"/>
          <w:szCs w:val="32"/>
        </w:rPr>
        <w:t>。</w:t>
      </w:r>
    </w:p>
    <w:p w14:paraId="44128087">
      <w:p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三、参赛材料要求</w:t>
      </w:r>
    </w:p>
    <w:p w14:paraId="1E66D2D8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</w:t>
      </w:r>
      <w:r>
        <w:rPr>
          <w:rFonts w:hint="eastAsia" w:cs="仿宋_GB2312"/>
          <w:lang w:val="en-US" w:eastAsia="zh-CN"/>
        </w:rPr>
        <w:t>需在</w:t>
      </w:r>
      <w:r>
        <w:rPr>
          <w:rFonts w:hint="eastAsia" w:cs="仿宋_GB2312"/>
        </w:rPr>
        <w:t>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</w:t>
      </w:r>
      <w:r>
        <w:rPr>
          <w:rFonts w:hint="eastAsia" w:cs="仿宋_GB2312"/>
          <w:lang w:eastAsia="zh-CN"/>
        </w:rPr>
        <w:t>，</w:t>
      </w:r>
      <w:r>
        <w:rPr>
          <w:rFonts w:hint="eastAsia" w:cs="仿宋_GB2312"/>
          <w:lang w:val="en-US" w:eastAsia="zh-CN"/>
        </w:rPr>
        <w:t>同时将以下材料发送学院邮箱（）</w:t>
      </w:r>
      <w:r>
        <w:rPr>
          <w:rFonts w:hint="eastAsia" w:cs="仿宋_GB2312"/>
        </w:rPr>
        <w:t>：</w:t>
      </w:r>
    </w:p>
    <w:p w14:paraId="09D2C735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（一）生涯发展</w:t>
      </w:r>
      <w:r>
        <w:rPr>
          <w:rFonts w:hint="eastAsia" w:ascii="仿宋_GB2312" w:hAnsi="仿宋_GB2312" w:cs="仿宋_GB2312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hint="eastAsia" w:ascii="仿宋_GB2312" w:hAnsi="仿宋_GB2312" w:cs="仿宋_GB2312"/>
        </w:rPr>
        <w:t>格式，文字不超过</w:t>
      </w:r>
      <w:r>
        <w:t>2000</w:t>
      </w:r>
      <w:r>
        <w:rPr>
          <w:rFonts w:hint="eastAsia" w:ascii="仿宋_GB2312" w:hAnsi="仿宋_GB2312" w:cs="仿宋_GB2312"/>
        </w:rPr>
        <w:t>字，图表不超</w:t>
      </w:r>
      <w:r>
        <w:t>过5</w:t>
      </w:r>
      <w:r>
        <w:rPr>
          <w:rFonts w:hint="eastAsia"/>
        </w:rPr>
        <w:t>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 w14:paraId="3859DE06">
      <w:pPr>
        <w:spacing w:line="530" w:lineRule="exact"/>
        <w:ind w:firstLine="640" w:firstLineChars="200"/>
        <w:rPr>
          <w:rFonts w:hint="eastAsia" w:cs="仿宋_GB2312"/>
        </w:rPr>
      </w:pPr>
      <w:r>
        <w:rPr>
          <w:rFonts w:hint="eastAsia" w:cs="仿宋_GB2312"/>
        </w:rPr>
        <w:t>（二）生涯发展展示（PPT格式，不超过50MB；可加入视频）。</w:t>
      </w:r>
    </w:p>
    <w:p w14:paraId="0B8F7FE8">
      <w:pPr>
        <w:spacing w:line="530" w:lineRule="exact"/>
        <w:ind w:firstLine="640" w:firstLineChars="200"/>
        <w:rPr>
          <w:rFonts w:hint="eastAsia" w:cs="仿宋_GB2312"/>
        </w:rPr>
      </w:pPr>
      <w:r>
        <w:rPr>
          <w:rFonts w:hint="eastAsia" w:cs="仿宋_GB2312"/>
          <w:lang w:eastAsia="zh-CN"/>
        </w:rPr>
        <w:t>（</w:t>
      </w:r>
      <w:r>
        <w:rPr>
          <w:rFonts w:hint="eastAsia" w:cs="仿宋_GB2312"/>
          <w:lang w:val="en-US" w:eastAsia="zh-CN"/>
        </w:rPr>
        <w:t>三）学生赛道参赛选手汇总表。</w:t>
      </w:r>
    </w:p>
    <w:p w14:paraId="5BEC9E80">
      <w:pPr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四、现场比赛环节</w:t>
      </w:r>
    </w:p>
    <w:p w14:paraId="6F9D70F0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成长赛道设主题陈述、评委提问环节。</w:t>
      </w:r>
    </w:p>
    <w:p w14:paraId="05B03DAE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（一）主题陈述（7分钟）：</w:t>
      </w:r>
      <w:r>
        <w:rPr>
          <w:rFonts w:hint="eastAsia" w:cs="仿宋_GB2312"/>
          <w:color w:val="000000"/>
          <w:szCs w:val="32"/>
        </w:rPr>
        <w:t>选手结合生涯发展报告作陈述。</w:t>
      </w:r>
    </w:p>
    <w:p w14:paraId="2D00BE09">
      <w:pPr>
        <w:spacing w:line="530" w:lineRule="exact"/>
        <w:ind w:firstLine="640" w:firstLineChars="200"/>
        <w:rPr>
          <w:rFonts w:cs="仿宋_GB2312"/>
          <w:color w:val="000000"/>
          <w:szCs w:val="32"/>
        </w:rPr>
      </w:pPr>
      <w:r>
        <w:rPr>
          <w:rFonts w:hint="eastAsia" w:cs="仿宋_GB2312"/>
        </w:rPr>
        <w:t>（二）评委提问（5分钟）：</w:t>
      </w:r>
      <w:r>
        <w:rPr>
          <w:rFonts w:hint="eastAsia" w:cs="仿宋_GB2312"/>
          <w:color w:val="000000"/>
          <w:szCs w:val="32"/>
        </w:rPr>
        <w:t>评委结合选手陈述和现场表现提问。</w:t>
      </w:r>
    </w:p>
    <w:p w14:paraId="5E1162F5">
      <w:pPr>
        <w:widowControl/>
        <w:numPr>
          <w:ilvl w:val="0"/>
          <w:numId w:val="1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9"/>
        <w:gridCol w:w="802"/>
      </w:tblGrid>
      <w:tr w14:paraId="4952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58" w:type="dxa"/>
            <w:vAlign w:val="center"/>
          </w:tcPr>
          <w:p w14:paraId="5AA341F6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59" w:type="dxa"/>
            <w:vAlign w:val="center"/>
          </w:tcPr>
          <w:p w14:paraId="3ABB8075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02" w:type="dxa"/>
            <w:vAlign w:val="center"/>
          </w:tcPr>
          <w:p w14:paraId="777D6A1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2B2D4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358" w:type="dxa"/>
            <w:vMerge w:val="restart"/>
            <w:vAlign w:val="center"/>
          </w:tcPr>
          <w:p w14:paraId="212D7E8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6359" w:type="dxa"/>
            <w:vAlign w:val="center"/>
          </w:tcPr>
          <w:p w14:paraId="6F88026D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802" w:type="dxa"/>
            <w:vMerge w:val="restart"/>
            <w:vAlign w:val="center"/>
          </w:tcPr>
          <w:p w14:paraId="410AB51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5711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</w:trPr>
        <w:tc>
          <w:tcPr>
            <w:tcW w:w="1358" w:type="dxa"/>
            <w:vMerge w:val="continue"/>
            <w:vAlign w:val="center"/>
          </w:tcPr>
          <w:p w14:paraId="2517E3C7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59" w:type="dxa"/>
            <w:vAlign w:val="center"/>
          </w:tcPr>
          <w:p w14:paraId="29053298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802" w:type="dxa"/>
            <w:vMerge w:val="continue"/>
            <w:vAlign w:val="center"/>
          </w:tcPr>
          <w:p w14:paraId="3779A163">
            <w:pPr>
              <w:jc w:val="center"/>
              <w:rPr>
                <w:sz w:val="28"/>
                <w:szCs w:val="28"/>
              </w:rPr>
            </w:pPr>
          </w:p>
        </w:tc>
      </w:tr>
      <w:tr w14:paraId="0AC1B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</w:trPr>
        <w:tc>
          <w:tcPr>
            <w:tcW w:w="1358" w:type="dxa"/>
            <w:vMerge w:val="continue"/>
            <w:vAlign w:val="center"/>
          </w:tcPr>
          <w:p w14:paraId="4FD51413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59" w:type="dxa"/>
            <w:vAlign w:val="center"/>
          </w:tcPr>
          <w:p w14:paraId="7E0695D8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802" w:type="dxa"/>
            <w:vMerge w:val="continue"/>
            <w:vAlign w:val="center"/>
          </w:tcPr>
          <w:p w14:paraId="647070D9">
            <w:pPr>
              <w:jc w:val="center"/>
              <w:rPr>
                <w:sz w:val="28"/>
                <w:szCs w:val="28"/>
              </w:rPr>
            </w:pPr>
          </w:p>
        </w:tc>
      </w:tr>
      <w:tr w14:paraId="326D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58" w:type="dxa"/>
            <w:vMerge w:val="restart"/>
            <w:vAlign w:val="center"/>
          </w:tcPr>
          <w:p w14:paraId="2853836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6359" w:type="dxa"/>
            <w:vAlign w:val="center"/>
          </w:tcPr>
          <w:p w14:paraId="1947871C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802" w:type="dxa"/>
            <w:vMerge w:val="restart"/>
            <w:vAlign w:val="center"/>
          </w:tcPr>
          <w:p w14:paraId="0EFAB2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6E70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8" w:type="dxa"/>
            <w:vMerge w:val="continue"/>
            <w:vAlign w:val="center"/>
          </w:tcPr>
          <w:p w14:paraId="2F87F8FC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59" w:type="dxa"/>
            <w:vAlign w:val="center"/>
          </w:tcPr>
          <w:p w14:paraId="0919C05C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802" w:type="dxa"/>
            <w:vMerge w:val="continue"/>
            <w:vAlign w:val="center"/>
          </w:tcPr>
          <w:p w14:paraId="56C41572">
            <w:pPr>
              <w:jc w:val="center"/>
              <w:rPr>
                <w:sz w:val="28"/>
                <w:szCs w:val="28"/>
              </w:rPr>
            </w:pPr>
          </w:p>
        </w:tc>
      </w:tr>
      <w:tr w14:paraId="527B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58" w:type="dxa"/>
            <w:vAlign w:val="center"/>
          </w:tcPr>
          <w:p w14:paraId="3D19700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6359" w:type="dxa"/>
            <w:vAlign w:val="center"/>
          </w:tcPr>
          <w:p w14:paraId="397972C8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802" w:type="dxa"/>
            <w:vAlign w:val="center"/>
          </w:tcPr>
          <w:p w14:paraId="3FF026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19B6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58" w:type="dxa"/>
            <w:shd w:val="clear" w:color="auto" w:fill="auto"/>
            <w:vAlign w:val="center"/>
          </w:tcPr>
          <w:p w14:paraId="7C8A9C3F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59" w:type="dxa"/>
            <w:shd w:val="clear" w:color="auto" w:fill="auto"/>
            <w:vAlign w:val="center"/>
          </w:tcPr>
          <w:p w14:paraId="47CBEC76">
            <w:pPr>
              <w:rPr>
                <w:sz w:val="26"/>
                <w:szCs w:val="26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14:paraId="74C51744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2028AA60">
      <w:pPr>
        <w:widowControl/>
        <w:numPr>
          <w:ilvl w:val="255"/>
          <w:numId w:val="0"/>
        </w:numPr>
        <w:spacing w:line="530" w:lineRule="exact"/>
        <w:ind w:firstLine="640" w:firstLineChars="20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六、奖项设置</w:t>
      </w:r>
    </w:p>
    <w:p w14:paraId="1DB56433">
      <w:pPr>
        <w:widowControl/>
        <w:spacing w:line="530" w:lineRule="exact"/>
        <w:ind w:firstLine="640" w:firstLineChars="200"/>
        <w:rPr>
          <w:rFonts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成长赛道设置金奖、银奖、铜奖</w:t>
      </w:r>
      <w:bookmarkStart w:id="0" w:name="_GoBack"/>
      <w:bookmarkEnd w:id="0"/>
      <w:r>
        <w:rPr>
          <w:rFonts w:hint="eastAsia" w:ascii="仿宋_GB2312" w:hAnsi="仿宋_GB2312" w:cs="仿宋_GB2312"/>
          <w:color w:val="000000"/>
          <w:szCs w:val="32"/>
        </w:rPr>
        <w:t>。</w:t>
      </w:r>
    </w:p>
    <w:p w14:paraId="23CABD7C">
      <w:pPr>
        <w:widowControl/>
        <w:adjustRightInd/>
        <w:snapToGrid/>
        <w:rPr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FD5A29-9674-4993-B75A-61457F127F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3C3975-FFF1-4194-8860-4B5A27BEA07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5E21969-4171-48A8-AE4C-B415DC9995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A2B36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F752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74F752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23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2045D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79ED7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F8AE1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78609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B94AE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0804"/>
    <w:multiLevelType w:val="singleLevel"/>
    <w:tmpl w:val="FAFF08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D13550"/>
    <w:rsid w:val="7C6019C7"/>
    <w:rsid w:val="7D5F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customStyle="1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702</Words>
  <Characters>731</Characters>
  <Lines>48</Lines>
  <Paragraphs>13</Paragraphs>
  <TotalTime>0</TotalTime>
  <ScaleCrop>false</ScaleCrop>
  <LinksUpToDate>false</LinksUpToDate>
  <CharactersWithSpaces>731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2025-10-23T16:54:00Z</dcterms:created>
  <dc:creator>Dell</dc:creator>
  <cp:lastModifiedBy>陈曼钰</cp:lastModifiedBy>
  <cp:lastPrinted>2025-10-14T01:04:00Z</cp:lastPrinted>
  <dcterms:modified xsi:type="dcterms:W3CDTF">2025-10-28T08:46:46Z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5A15A7EAE1A74C62915BEE1DE3FF4A0F_13</vt:lpwstr>
  </property>
  <property fmtid="{D5CDD505-2E9C-101B-9397-08002B2CF9AE}" pid="4" name="KSOTemplateDocerSaveRecord">
    <vt:lpwstr>eyJoZGlkIjoiMjhkMjMzNzc2ZmYyZWMxZTEwYmMzZGI3ZTgwOTE1NmIiLCJ1c2VySWQiOiIxNjg2OTc5NDUwIn0=</vt:lpwstr>
  </property>
</Properties>
</file>