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 w:line="600" w:lineRule="exact"/>
        <w:rPr>
          <w:rFonts w:eastAsia="黑体" w:cs="黑体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40"/>
        </w:rPr>
        <w:t>附件2</w:t>
      </w:r>
    </w:p>
    <w:p>
      <w:pPr>
        <w:spacing w:before="312" w:beforeLines="100" w:line="60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首届全国大学生职业规划大赛</w:t>
      </w:r>
    </w:p>
    <w:p>
      <w:pPr>
        <w:spacing w:after="312" w:afterLines="100" w:line="60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就业赛道方案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黑体" w:hAnsi="黑体" w:eastAsia="黑体" w:cs="Times New Roman"/>
          <w:kern w:val="2"/>
          <w:sz w:val="32"/>
          <w:szCs w:val="32"/>
        </w:rPr>
      </w:pPr>
      <w:r>
        <w:rPr>
          <w:rFonts w:hint="eastAsia" w:ascii="黑体" w:hAnsi="黑体" w:eastAsia="黑体" w:cs="Times New Roman"/>
          <w:kern w:val="2"/>
          <w:sz w:val="32"/>
          <w:szCs w:val="32"/>
        </w:rPr>
        <w:t>一、比赛内容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考察学生的求职实战能力，个人发展路径与经济社会发展需要的适应度，就业能力与职业目标和岗位要求的契合度。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黑体" w:hAnsi="黑体" w:eastAsia="黑体" w:cs="Times New Roman"/>
          <w:kern w:val="2"/>
          <w:sz w:val="32"/>
          <w:szCs w:val="32"/>
        </w:rPr>
      </w:pPr>
      <w:r>
        <w:rPr>
          <w:rFonts w:hint="eastAsia" w:ascii="黑体" w:hAnsi="黑体" w:eastAsia="黑体" w:cs="Times New Roman"/>
          <w:kern w:val="2"/>
          <w:sz w:val="32"/>
          <w:szCs w:val="32"/>
        </w:rPr>
        <w:t>二、参赛组别和对象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1、比赛设5个分赛道。其中，针对企业职能岗位，设产品研发、生产服务、市场营销、通用职能（行政、人力、财务、法务等）分赛道（按相近行业分小组）；针对公共服务岗位，设公共服务分赛道（医院、学校、机关事业单位等）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2、就业赛道参赛对象为本科三、四年级（部分专业五年级）学生和全体研究生。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黑体" w:hAnsi="黑体" w:eastAsia="黑体" w:cs="Times New Roman"/>
          <w:kern w:val="2"/>
          <w:sz w:val="32"/>
          <w:szCs w:val="32"/>
        </w:rPr>
      </w:pPr>
      <w:r>
        <w:rPr>
          <w:rFonts w:hint="eastAsia" w:ascii="黑体" w:hAnsi="黑体" w:eastAsia="黑体" w:cs="Times New Roman"/>
          <w:kern w:val="2"/>
          <w:sz w:val="32"/>
          <w:szCs w:val="32"/>
        </w:rPr>
        <w:t>三、参赛材料要求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选手在大赛平台（网址：zgs.chsi.com.cn）提交以下参赛材料：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求职简历（PDF格式）。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就业能力展示（PPT格式，不超过50MB；可加入视频）。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辅助证明材料，包括实践、实习、获奖等证明材料（PDF格式，整合为单个文件，不超过50MB）。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黑体" w:hAnsi="黑体" w:eastAsia="黑体" w:cs="Times New Roman"/>
          <w:kern w:val="2"/>
          <w:sz w:val="32"/>
          <w:szCs w:val="32"/>
        </w:rPr>
      </w:pPr>
      <w:r>
        <w:rPr>
          <w:rFonts w:hint="eastAsia" w:ascii="黑体" w:hAnsi="黑体" w:eastAsia="黑体" w:cs="Times New Roman"/>
          <w:kern w:val="2"/>
          <w:sz w:val="32"/>
          <w:szCs w:val="32"/>
        </w:rPr>
        <w:t>四、比赛环节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就业赛道设主题陈述、综合面试环节。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（一）主题陈述（7分钟）：选手陈述个人求职意向和职业准备情况，展示通用素质与岗位能力。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（二）综合面试（8分钟）：评委提出真实工作场景中可能遇到的问题，选手提出解决方案；评委结合选手陈述自由提问。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黑体" w:hAnsi="黑体" w:eastAsia="黑体" w:cs="Times New Roman"/>
          <w:kern w:val="2"/>
          <w:sz w:val="32"/>
          <w:szCs w:val="32"/>
        </w:rPr>
      </w:pPr>
      <w:r>
        <w:rPr>
          <w:rFonts w:hint="eastAsia" w:ascii="黑体" w:hAnsi="黑体" w:eastAsia="黑体" w:cs="Times New Roman"/>
          <w:kern w:val="2"/>
          <w:sz w:val="32"/>
          <w:szCs w:val="32"/>
        </w:rPr>
        <w:t>五、评审标准</w:t>
      </w:r>
    </w:p>
    <w:tbl>
      <w:tblPr>
        <w:tblStyle w:val="3"/>
        <w:tblW w:w="5285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415"/>
        <w:gridCol w:w="3172"/>
        <w:gridCol w:w="712"/>
        <w:gridCol w:w="704"/>
        <w:gridCol w:w="706"/>
        <w:gridCol w:w="706"/>
        <w:gridCol w:w="7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67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2"/>
                <w:szCs w:val="32"/>
              </w:rPr>
              <w:t>指标</w:t>
            </w:r>
          </w:p>
        </w:tc>
        <w:tc>
          <w:tcPr>
            <w:tcW w:w="1760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2"/>
                <w:szCs w:val="32"/>
              </w:rPr>
              <w:t>说明</w:t>
            </w:r>
          </w:p>
        </w:tc>
        <w:tc>
          <w:tcPr>
            <w:tcW w:w="1972" w:type="pct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2"/>
                <w:szCs w:val="32"/>
              </w:rPr>
              <w:t>分赛道分值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2"/>
                <w:szCs w:val="32"/>
              </w:rPr>
              <w:t>一级指标</w:t>
            </w:r>
          </w:p>
        </w:tc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2"/>
                <w:szCs w:val="32"/>
              </w:rPr>
              <w:t>二级指标</w:t>
            </w:r>
          </w:p>
        </w:tc>
        <w:tc>
          <w:tcPr>
            <w:tcW w:w="176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2"/>
                <w:szCs w:val="32"/>
              </w:rPr>
              <w:t>产品研发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2"/>
                <w:szCs w:val="32"/>
              </w:rPr>
              <w:t>生产服务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2"/>
                <w:szCs w:val="32"/>
              </w:rPr>
              <w:t>市场营销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2"/>
                <w:szCs w:val="32"/>
              </w:rPr>
              <w:t>通用职能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2"/>
                <w:szCs w:val="32"/>
              </w:rPr>
              <w:t>公共服务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482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通用素质</w:t>
            </w:r>
          </w:p>
        </w:tc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职业精神</w:t>
            </w:r>
          </w:p>
        </w:tc>
        <w:tc>
          <w:tcPr>
            <w:tcW w:w="176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具有家国情怀，有爱岗敬业、忠诚守信、奋斗奉献精神等</w:t>
            </w:r>
          </w:p>
        </w:tc>
        <w:tc>
          <w:tcPr>
            <w:tcW w:w="395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35</w:t>
            </w:r>
          </w:p>
        </w:tc>
        <w:tc>
          <w:tcPr>
            <w:tcW w:w="391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35</w:t>
            </w:r>
          </w:p>
        </w:tc>
        <w:tc>
          <w:tcPr>
            <w:tcW w:w="392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45</w:t>
            </w:r>
          </w:p>
        </w:tc>
        <w:tc>
          <w:tcPr>
            <w:tcW w:w="392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45</w:t>
            </w:r>
          </w:p>
        </w:tc>
        <w:tc>
          <w:tcPr>
            <w:tcW w:w="399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48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心理素质</w:t>
            </w:r>
          </w:p>
        </w:tc>
        <w:tc>
          <w:tcPr>
            <w:tcW w:w="176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具备目标岗位所需的意志力、抗压能力等</w:t>
            </w:r>
          </w:p>
        </w:tc>
        <w:tc>
          <w:tcPr>
            <w:tcW w:w="39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91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9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9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9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48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思维能力</w:t>
            </w:r>
          </w:p>
        </w:tc>
        <w:tc>
          <w:tcPr>
            <w:tcW w:w="176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具备目标岗位所需的逻辑推理、系统分析和信息处理能力等</w:t>
            </w:r>
          </w:p>
        </w:tc>
        <w:tc>
          <w:tcPr>
            <w:tcW w:w="39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91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9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9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9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48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沟通能力</w:t>
            </w:r>
          </w:p>
        </w:tc>
        <w:tc>
          <w:tcPr>
            <w:tcW w:w="176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具备目标岗位所需的语言表达、交流协调能力等</w:t>
            </w:r>
          </w:p>
        </w:tc>
        <w:tc>
          <w:tcPr>
            <w:tcW w:w="39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91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9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9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9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48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执行和领导能力</w:t>
            </w:r>
          </w:p>
        </w:tc>
        <w:tc>
          <w:tcPr>
            <w:tcW w:w="176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能够针对工作任务制定计划并实施，具备目标岗位所需的团队领导、协作、激励和执行能力等</w:t>
            </w:r>
          </w:p>
        </w:tc>
        <w:tc>
          <w:tcPr>
            <w:tcW w:w="39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91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9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9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9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482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岗位能力</w:t>
            </w:r>
          </w:p>
        </w:tc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岗位认知程度</w:t>
            </w:r>
          </w:p>
        </w:tc>
        <w:tc>
          <w:tcPr>
            <w:tcW w:w="176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全面了解目标行业现状、发展趋势和就业需求，准确把握目标岗位的任职要求、工作流程、工作内容等</w:t>
            </w:r>
          </w:p>
        </w:tc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20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20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15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15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  <w:jc w:val="center"/>
        </w:trPr>
        <w:tc>
          <w:tcPr>
            <w:tcW w:w="48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岗位胜任能力</w:t>
            </w:r>
          </w:p>
        </w:tc>
        <w:tc>
          <w:tcPr>
            <w:tcW w:w="176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具备目标岗位所需的专业能力、实习实践经历、解决实际工作问题的能力等</w:t>
            </w:r>
          </w:p>
        </w:tc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25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25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20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20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发展潜力</w:t>
            </w:r>
          </w:p>
        </w:tc>
        <w:tc>
          <w:tcPr>
            <w:tcW w:w="7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—</w:t>
            </w:r>
          </w:p>
        </w:tc>
        <w:tc>
          <w:tcPr>
            <w:tcW w:w="176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职业目标契合行业发展前景和人才需求</w:t>
            </w:r>
          </w:p>
        </w:tc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20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20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20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20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20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iYmZiNDNhYTE1N2NmZmJmZWQxNDJiNjI3ZDU4YmYifQ=="/>
  </w:docVars>
  <w:rsids>
    <w:rsidRoot w:val="46694076"/>
    <w:rsid w:val="449D55B1"/>
    <w:rsid w:val="46694076"/>
    <w:rsid w:val="73E4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2023-10-16T02:58:00Z</dcterms:created>
  <dc:creator>Administrator</dc:creator>
  <cp:lastModifiedBy>骆</cp:lastModifiedBy>
  <dcterms:modified xsi:type="dcterms:W3CDTF">2023-10-29T07:56:56Z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5EB68042E76345A79E37BB140F7005E3_13</vt:lpwstr>
  </property>
</Properties>
</file>