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28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44"/>
        </w:rPr>
        <w:t>附件1</w:t>
      </w:r>
    </w:p>
    <w:p>
      <w:pPr>
        <w:spacing w:before="312" w:before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首届全国大学生职业规划大赛</w:t>
      </w:r>
    </w:p>
    <w:p>
      <w:pPr>
        <w:spacing w:after="312" w:after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一、比赛内容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二、参赛对象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本科一、二、三年级学生。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三、参赛材料要求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选手在大赛平台（网址：zgs.chsi.com.cn）提交以下参赛材料：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生涯发展报告：介绍职业发展规划、实现职业目标的具体行动和成果（PDF格式，文字不超过1500字，如有图表不超过5张）。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生涯发展展示（PPT格式，不超过50MB；可加入视频）。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四、比赛环节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成长赛道设主题陈述、评委提问环节。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（一）主题陈述（8分钟）：选手结合生涯发展报告进行陈述和展示。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（二）评委提问（5分钟）：评委结合选手陈述和现场表现进行提问。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五、评审标准</w:t>
      </w:r>
    </w:p>
    <w:tbl>
      <w:tblPr>
        <w:tblStyle w:val="4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776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说明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职业目标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1.职业目标体现积极正向的价值追求，能够将个人理想与国家需要、经济社会发展相结合。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2.职业目标匹配个人价值观、能力优势、兴趣特点。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3.准确认识目标职业在专业知识、通用素质、就业能力等方面的要求，科学分析个人现实情况与目标要求的差距，制定合理可行的计划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行动成果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1.成长行动符合目标职业在通用素质、就业能力、职业道德等方面的要求。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2.成长行动对弥补个人不足的针对性较强。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3.能够将专业知识应用于成长实践，提高通用素质和就业能力。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4.成长行动内容丰富，取得阶段性成果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目标契合度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1.行动成果与职业目标的契合程度。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2.总结成长行动中存在的不足和原因，对成长计划进行自我评估和动态调整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mZiNDNhYTE1N2NmZmJmZWQxNDJiNjI3ZDU4YmYifQ=="/>
  </w:docVars>
  <w:rsids>
    <w:rsidRoot w:val="09FE5424"/>
    <w:rsid w:val="01B02339"/>
    <w:rsid w:val="09FE5424"/>
    <w:rsid w:val="7A37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2023-10-16T02:58:00Z</dcterms:created>
  <dc:creator>Administrator</dc:creator>
  <cp:lastModifiedBy>骆</cp:lastModifiedBy>
  <dcterms:modified xsi:type="dcterms:W3CDTF">2023-10-29T07:55:05Z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857C35B4567B4F70857CED04E6A5ED8C_13</vt:lpwstr>
  </property>
</Properties>
</file>